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74" w:rsidRDefault="00AA3774" w:rsidP="00790B40"/>
    <w:p w:rsidR="006C28E0" w:rsidRPr="006C28E0" w:rsidRDefault="006C28E0" w:rsidP="006C28E0">
      <w:pPr>
        <w:spacing w:after="0" w:line="240" w:lineRule="auto"/>
        <w:jc w:val="both"/>
        <w:rPr>
          <w:rFonts w:ascii="Candara" w:eastAsia="Calibri" w:hAnsi="Candara" w:cs="Times New Roman"/>
          <w:b/>
          <w:color w:val="000000" w:themeColor="text1"/>
          <w:sz w:val="24"/>
          <w:szCs w:val="24"/>
          <w:lang w:eastAsia="pt-BR"/>
        </w:rPr>
      </w:pPr>
      <w:r w:rsidRPr="006C28E0">
        <w:rPr>
          <w:rFonts w:ascii="Candara" w:eastAsia="Calibri" w:hAnsi="Candara" w:cs="Times New Roman"/>
          <w:b/>
          <w:color w:val="000000" w:themeColor="text1"/>
          <w:sz w:val="24"/>
          <w:szCs w:val="24"/>
          <w:lang w:eastAsia="pt-BR"/>
        </w:rPr>
        <w:t xml:space="preserve">LEI 672/2025, DE </w:t>
      </w:r>
      <w:r>
        <w:rPr>
          <w:rFonts w:ascii="Candara" w:eastAsia="Calibri" w:hAnsi="Candara" w:cs="Times New Roman"/>
          <w:b/>
          <w:color w:val="000000" w:themeColor="text1"/>
          <w:sz w:val="24"/>
          <w:szCs w:val="24"/>
          <w:lang w:eastAsia="pt-BR"/>
        </w:rPr>
        <w:t>1</w:t>
      </w:r>
      <w:r w:rsidRPr="006C28E0">
        <w:rPr>
          <w:rFonts w:ascii="Candara" w:eastAsia="Calibri" w:hAnsi="Candara" w:cs="Times New Roman"/>
          <w:b/>
          <w:color w:val="000000" w:themeColor="text1"/>
          <w:sz w:val="24"/>
          <w:szCs w:val="24"/>
          <w:lang w:eastAsia="pt-BR"/>
        </w:rPr>
        <w:t>5 DE DEZEMBRO DE 2025.</w:t>
      </w:r>
    </w:p>
    <w:p w:rsidR="006C28E0" w:rsidRPr="006C28E0" w:rsidRDefault="006C28E0" w:rsidP="006C28E0">
      <w:pPr>
        <w:spacing w:after="0" w:line="240" w:lineRule="auto"/>
        <w:jc w:val="both"/>
        <w:rPr>
          <w:rFonts w:ascii="Candara" w:eastAsia="Calibri" w:hAnsi="Candara" w:cs="Times New Roman"/>
          <w:b/>
          <w:color w:val="000000" w:themeColor="text1"/>
          <w:sz w:val="24"/>
          <w:szCs w:val="24"/>
          <w:lang w:eastAsia="pt-BR"/>
        </w:rPr>
      </w:pPr>
    </w:p>
    <w:p w:rsidR="006C28E0" w:rsidRPr="006C28E0" w:rsidRDefault="006C28E0" w:rsidP="006C28E0">
      <w:pPr>
        <w:spacing w:after="0" w:line="240" w:lineRule="auto"/>
        <w:ind w:left="3828"/>
        <w:jc w:val="both"/>
        <w:rPr>
          <w:rFonts w:ascii="Candara" w:eastAsia="Calibri" w:hAnsi="Candara" w:cs="Times New Roman"/>
          <w:iCs/>
          <w:color w:val="000000" w:themeColor="text1"/>
          <w:sz w:val="24"/>
          <w:szCs w:val="24"/>
          <w:lang w:eastAsia="pt-BR"/>
        </w:rPr>
      </w:pPr>
      <w:r w:rsidRPr="006C28E0">
        <w:rPr>
          <w:rFonts w:ascii="Candara" w:eastAsia="Calibri" w:hAnsi="Candara" w:cs="Times New Roman"/>
          <w:iCs/>
          <w:color w:val="000000" w:themeColor="text1"/>
          <w:sz w:val="24"/>
          <w:szCs w:val="24"/>
          <w:lang w:eastAsia="pt-BR"/>
        </w:rPr>
        <w:t>Estima a Receita e fixa a Despesa do Orçamento Anual do Município de Cristalândia, para o exercício financeiro de 2026.</w:t>
      </w:r>
    </w:p>
    <w:p w:rsidR="006C28E0" w:rsidRDefault="006C28E0" w:rsidP="006C28E0">
      <w:pPr>
        <w:spacing w:after="0" w:line="240" w:lineRule="auto"/>
        <w:jc w:val="both"/>
        <w:rPr>
          <w:rFonts w:ascii="Candara" w:eastAsia="Calibri" w:hAnsi="Candara" w:cs="Times New Roman"/>
          <w:b/>
          <w:bCs/>
          <w:color w:val="000000" w:themeColor="text1"/>
          <w:sz w:val="24"/>
          <w:szCs w:val="24"/>
          <w:lang w:eastAsia="pt-BR"/>
        </w:rPr>
      </w:pPr>
    </w:p>
    <w:p w:rsidR="006C28E0" w:rsidRPr="006C28E0" w:rsidRDefault="006C28E0" w:rsidP="006C28E0">
      <w:pPr>
        <w:spacing w:after="0" w:line="240" w:lineRule="auto"/>
        <w:jc w:val="both"/>
        <w:rPr>
          <w:rFonts w:ascii="Candara" w:eastAsia="Calibri" w:hAnsi="Candara" w:cs="Times New Roman"/>
          <w:b/>
          <w:bCs/>
          <w:color w:val="000000" w:themeColor="text1"/>
          <w:sz w:val="24"/>
          <w:szCs w:val="24"/>
          <w:lang w:eastAsia="pt-BR"/>
        </w:rPr>
      </w:pPr>
      <w:r w:rsidRPr="006C28E0">
        <w:rPr>
          <w:rFonts w:ascii="Candara" w:eastAsia="Calibri" w:hAnsi="Candara" w:cs="Times New Roman"/>
          <w:b/>
          <w:bCs/>
          <w:color w:val="000000" w:themeColor="text1"/>
          <w:sz w:val="24"/>
          <w:szCs w:val="24"/>
          <w:lang w:eastAsia="pt-BR"/>
        </w:rPr>
        <w:t>O</w:t>
      </w:r>
      <w:r w:rsidRPr="006C28E0">
        <w:rPr>
          <w:rFonts w:ascii="Candara" w:eastAsia="Calibri" w:hAnsi="Candara" w:cs="Times New Roman"/>
          <w:bCs/>
          <w:color w:val="000000" w:themeColor="text1"/>
          <w:sz w:val="24"/>
          <w:szCs w:val="24"/>
          <w:lang w:eastAsia="pt-BR"/>
        </w:rPr>
        <w:t xml:space="preserve"> </w:t>
      </w:r>
      <w:r w:rsidRPr="006C28E0">
        <w:rPr>
          <w:rFonts w:ascii="Candara" w:eastAsia="Calibri" w:hAnsi="Candara" w:cs="Times New Roman"/>
          <w:b/>
          <w:bCs/>
          <w:color w:val="000000" w:themeColor="text1"/>
          <w:sz w:val="24"/>
          <w:szCs w:val="24"/>
          <w:lang w:eastAsia="pt-BR"/>
        </w:rPr>
        <w:t>PREFEITO DO MUNICÍPIO DE CRISTALÂNDIA</w:t>
      </w:r>
      <w:r w:rsidRPr="006C28E0">
        <w:rPr>
          <w:rFonts w:ascii="Candara" w:eastAsia="Calibri" w:hAnsi="Candara" w:cs="Times New Roman"/>
          <w:bCs/>
          <w:color w:val="000000" w:themeColor="text1"/>
          <w:sz w:val="24"/>
          <w:szCs w:val="24"/>
          <w:lang w:eastAsia="pt-BR"/>
        </w:rPr>
        <w:t xml:space="preserve">, Estado do Tocantins, no uso de suas atribuições legais, faz saber que a Câmara Municipal </w:t>
      </w:r>
      <w:r w:rsidRPr="006C28E0">
        <w:rPr>
          <w:rFonts w:ascii="Candara" w:eastAsia="Calibri" w:hAnsi="Candara" w:cs="Times New Roman"/>
          <w:b/>
          <w:bCs/>
          <w:color w:val="000000" w:themeColor="text1"/>
          <w:sz w:val="24"/>
          <w:szCs w:val="24"/>
          <w:lang w:eastAsia="pt-BR"/>
        </w:rPr>
        <w:t>APROVOU</w:t>
      </w:r>
      <w:r w:rsidRPr="006C28E0">
        <w:rPr>
          <w:rFonts w:ascii="Candara" w:eastAsia="Calibri" w:hAnsi="Candara" w:cs="Times New Roman"/>
          <w:bCs/>
          <w:color w:val="000000" w:themeColor="text1"/>
          <w:sz w:val="24"/>
          <w:szCs w:val="24"/>
          <w:lang w:eastAsia="pt-BR"/>
        </w:rPr>
        <w:t xml:space="preserve"> e </w:t>
      </w:r>
      <w:r w:rsidRPr="006C28E0">
        <w:rPr>
          <w:rFonts w:ascii="Candara" w:eastAsia="Calibri" w:hAnsi="Candara" w:cs="Times New Roman"/>
          <w:b/>
          <w:bCs/>
          <w:color w:val="000000" w:themeColor="text1"/>
          <w:sz w:val="24"/>
          <w:szCs w:val="24"/>
          <w:lang w:eastAsia="pt-BR"/>
        </w:rPr>
        <w:t>Eu</w:t>
      </w:r>
      <w:r w:rsidRPr="006C28E0">
        <w:rPr>
          <w:rFonts w:ascii="Candara" w:eastAsia="Calibri" w:hAnsi="Candara" w:cs="Times New Roman"/>
          <w:bCs/>
          <w:color w:val="000000" w:themeColor="text1"/>
          <w:sz w:val="24"/>
          <w:szCs w:val="24"/>
          <w:lang w:eastAsia="pt-BR"/>
        </w:rPr>
        <w:t xml:space="preserve"> </w:t>
      </w:r>
      <w:r w:rsidRPr="006C28E0">
        <w:rPr>
          <w:rFonts w:ascii="Candara" w:eastAsia="Calibri" w:hAnsi="Candara" w:cs="Times New Roman"/>
          <w:b/>
          <w:bCs/>
          <w:color w:val="000000" w:themeColor="text1"/>
          <w:sz w:val="24"/>
          <w:szCs w:val="24"/>
          <w:lang w:eastAsia="pt-BR"/>
        </w:rPr>
        <w:t>SANCIONO</w:t>
      </w:r>
      <w:r w:rsidRPr="006C28E0">
        <w:rPr>
          <w:rFonts w:ascii="Candara" w:eastAsia="Calibri" w:hAnsi="Candara" w:cs="Times New Roman"/>
          <w:bCs/>
          <w:color w:val="000000" w:themeColor="text1"/>
          <w:sz w:val="24"/>
          <w:szCs w:val="24"/>
          <w:lang w:eastAsia="pt-BR"/>
        </w:rPr>
        <w:t xml:space="preserve"> a seguinte </w:t>
      </w:r>
      <w:r w:rsidRPr="006C28E0">
        <w:rPr>
          <w:rFonts w:ascii="Candara" w:eastAsia="Calibri" w:hAnsi="Candara" w:cs="Times New Roman"/>
          <w:b/>
          <w:bCs/>
          <w:color w:val="000000" w:themeColor="text1"/>
          <w:sz w:val="24"/>
          <w:szCs w:val="24"/>
          <w:lang w:eastAsia="pt-BR"/>
        </w:rPr>
        <w:t>LEI:</w:t>
      </w:r>
    </w:p>
    <w:p w:rsidR="006C28E0" w:rsidRPr="006C28E0" w:rsidRDefault="006C28E0" w:rsidP="006C28E0">
      <w:pPr>
        <w:spacing w:after="0" w:line="240" w:lineRule="auto"/>
        <w:jc w:val="center"/>
        <w:rPr>
          <w:rFonts w:ascii="Candara" w:eastAsiaTheme="majorEastAsia" w:hAnsi="Candara" w:cs="Times New Roman"/>
          <w:b/>
          <w:bCs/>
          <w:color w:val="000000" w:themeColor="text1"/>
          <w:sz w:val="24"/>
          <w:szCs w:val="24"/>
          <w:lang w:eastAsia="pt-BR"/>
        </w:rPr>
      </w:pPr>
    </w:p>
    <w:p w:rsidR="006C28E0" w:rsidRPr="006C28E0" w:rsidRDefault="006C28E0" w:rsidP="006C28E0">
      <w:pPr>
        <w:spacing w:after="0" w:line="240" w:lineRule="auto"/>
        <w:jc w:val="center"/>
        <w:outlineLvl w:val="1"/>
        <w:rPr>
          <w:rFonts w:ascii="Candara" w:eastAsia="Cambria" w:hAnsi="Candara" w:cs="Times New Roman"/>
          <w:b/>
          <w:bCs/>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TÍTULO I</w:t>
      </w:r>
      <w:bookmarkStart w:id="0" w:name="_GoBack"/>
      <w:bookmarkEnd w:id="0"/>
    </w:p>
    <w:p w:rsidR="006C28E0" w:rsidRPr="006C28E0" w:rsidRDefault="006C28E0" w:rsidP="006C28E0">
      <w:pPr>
        <w:spacing w:after="0" w:line="240" w:lineRule="auto"/>
        <w:jc w:val="center"/>
        <w:outlineLvl w:val="1"/>
        <w:rPr>
          <w:rFonts w:ascii="Candara" w:eastAsia="Cambria" w:hAnsi="Candara" w:cs="Times New Roman"/>
          <w:b/>
          <w:bCs/>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DO CONTEÚDO DA LEI ORÇAMENTÁRIA</w:t>
      </w:r>
    </w:p>
    <w:p w:rsidR="006C28E0" w:rsidRPr="006C28E0" w:rsidRDefault="006C28E0" w:rsidP="006C28E0">
      <w:pPr>
        <w:spacing w:after="0" w:line="240" w:lineRule="auto"/>
        <w:jc w:val="both"/>
        <w:rPr>
          <w:rFonts w:ascii="Candara" w:eastAsia="Times New Roman" w:hAnsi="Candara" w:cs="Times New Roman"/>
          <w:sz w:val="24"/>
          <w:szCs w:val="24"/>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heme="majorEastAsia" w:hAnsi="Candara" w:cs="Times New Roman"/>
          <w:b/>
          <w:bCs/>
          <w:color w:val="000000" w:themeColor="text1"/>
          <w:sz w:val="24"/>
          <w:szCs w:val="24"/>
          <w:lang w:eastAsia="pt-BR"/>
        </w:rPr>
        <w:t>Art. 1º.</w:t>
      </w:r>
      <w:r w:rsidRPr="006C28E0">
        <w:rPr>
          <w:rFonts w:ascii="Candara" w:eastAsia="Times New Roman" w:hAnsi="Candara" w:cs="Times New Roman"/>
          <w:color w:val="000000" w:themeColor="text1"/>
          <w:sz w:val="24"/>
          <w:szCs w:val="24"/>
          <w:lang w:eastAsia="pt-BR"/>
        </w:rPr>
        <w:t xml:space="preserve"> Esta Lei estima a receita e fixa a despesa do orçamento anual do Município de Cristalândia, para o exercício financeiro de 2026, nos termos das disposições constitucionais, compreendendo:</w:t>
      </w:r>
    </w:p>
    <w:p w:rsidR="006C28E0" w:rsidRPr="006C28E0" w:rsidRDefault="006C28E0" w:rsidP="006C28E0">
      <w:pPr>
        <w:spacing w:after="0" w:line="240" w:lineRule="auto"/>
        <w:jc w:val="center"/>
        <w:outlineLvl w:val="1"/>
        <w:rPr>
          <w:rFonts w:ascii="Candara" w:eastAsia="Cambria" w:hAnsi="Candara" w:cs="Times New Roman"/>
          <w:b/>
          <w:bCs/>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TÍTULO II</w:t>
      </w:r>
    </w:p>
    <w:p w:rsidR="006C28E0" w:rsidRPr="006C28E0" w:rsidRDefault="006C28E0" w:rsidP="006C28E0">
      <w:pPr>
        <w:spacing w:after="0" w:line="240" w:lineRule="auto"/>
        <w:jc w:val="center"/>
        <w:outlineLvl w:val="1"/>
        <w:rPr>
          <w:rFonts w:ascii="Candara" w:eastAsia="Cambria" w:hAnsi="Candara" w:cs="Times New Roman"/>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DOS ORÇAMENTOS FISCAL E DA SEGURIDADE SOCIAL</w:t>
      </w:r>
    </w:p>
    <w:p w:rsidR="006C28E0" w:rsidRDefault="006C28E0" w:rsidP="006C28E0">
      <w:pPr>
        <w:spacing w:after="0" w:line="240" w:lineRule="auto"/>
        <w:jc w:val="center"/>
        <w:outlineLvl w:val="2"/>
        <w:rPr>
          <w:rFonts w:ascii="Candara" w:eastAsia="Cambria" w:hAnsi="Candara" w:cs="Times New Roman"/>
          <w:b/>
          <w:bCs/>
          <w:color w:val="000000" w:themeColor="text1"/>
          <w:sz w:val="24"/>
          <w:szCs w:val="24"/>
          <w:lang w:eastAsia="pt-BR"/>
        </w:rPr>
      </w:pPr>
    </w:p>
    <w:p w:rsidR="006C28E0" w:rsidRPr="006C28E0" w:rsidRDefault="006C28E0" w:rsidP="006C28E0">
      <w:pPr>
        <w:spacing w:after="0" w:line="240" w:lineRule="auto"/>
        <w:jc w:val="center"/>
        <w:outlineLvl w:val="2"/>
        <w:rPr>
          <w:rFonts w:ascii="Candara" w:eastAsia="Cambria" w:hAnsi="Candara" w:cs="Times New Roman"/>
          <w:b/>
          <w:bCs/>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CAPÍTULO I</w:t>
      </w:r>
    </w:p>
    <w:p w:rsidR="006C28E0" w:rsidRPr="006C28E0" w:rsidRDefault="006C28E0" w:rsidP="006C28E0">
      <w:pPr>
        <w:spacing w:after="0" w:line="240" w:lineRule="auto"/>
        <w:jc w:val="center"/>
        <w:outlineLvl w:val="2"/>
        <w:rPr>
          <w:rFonts w:ascii="Candara" w:eastAsia="Times New Roman" w:hAnsi="Candara" w:cs="Times New Roman"/>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DA ESTIMATIVA DA RECEITA</w:t>
      </w:r>
    </w:p>
    <w:p w:rsidR="006C28E0" w:rsidRPr="006C28E0" w:rsidRDefault="006C28E0" w:rsidP="006C28E0">
      <w:pPr>
        <w:spacing w:after="0" w:line="240" w:lineRule="auto"/>
        <w:jc w:val="both"/>
        <w:rPr>
          <w:rFonts w:ascii="Candara" w:eastAsiaTheme="majorEastAsia" w:hAnsi="Candara" w:cs="Times New Roman"/>
          <w:b/>
          <w:bCs/>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Theme="majorEastAsia" w:hAnsi="Candara" w:cs="Times New Roman"/>
          <w:b/>
          <w:bCs/>
          <w:color w:val="000000" w:themeColor="text1"/>
          <w:sz w:val="24"/>
          <w:szCs w:val="24"/>
          <w:lang w:eastAsia="pt-BR"/>
        </w:rPr>
        <w:t>Art. 2º.</w:t>
      </w:r>
      <w:r w:rsidRPr="006C28E0">
        <w:rPr>
          <w:rFonts w:ascii="Candara" w:eastAsia="Times New Roman" w:hAnsi="Candara" w:cs="Times New Roman"/>
          <w:color w:val="000000" w:themeColor="text1"/>
          <w:sz w:val="24"/>
          <w:szCs w:val="24"/>
          <w:lang w:eastAsia="pt-BR"/>
        </w:rPr>
        <w:t xml:space="preserve"> </w:t>
      </w:r>
      <w:r w:rsidRPr="006C28E0">
        <w:rPr>
          <w:rFonts w:ascii="Candara" w:eastAsia="Times New Roman" w:hAnsi="Candara" w:cs="Times New Roman"/>
          <w:sz w:val="24"/>
          <w:szCs w:val="24"/>
          <w:lang w:eastAsia="pt-BR"/>
        </w:rPr>
        <w:t xml:space="preserve">A receita total estimada nos Orçamentos Fiscal e da Seguridade Social é no valor de </w:t>
      </w:r>
      <w:r w:rsidRPr="006C28E0">
        <w:rPr>
          <w:rFonts w:ascii="Candara" w:eastAsiaTheme="majorEastAsia" w:hAnsi="Candara" w:cs="Times New Roman"/>
          <w:b/>
          <w:sz w:val="24"/>
          <w:szCs w:val="24"/>
          <w:lang w:eastAsia="pt-BR"/>
        </w:rPr>
        <w:t>R$</w:t>
      </w:r>
      <w:r w:rsidRPr="006C28E0">
        <w:rPr>
          <w:rFonts w:ascii="Candara" w:eastAsiaTheme="majorEastAsia" w:hAnsi="Candara" w:cs="Times New Roman"/>
          <w:sz w:val="24"/>
          <w:szCs w:val="24"/>
          <w:lang w:eastAsia="pt-BR"/>
        </w:rPr>
        <w:t xml:space="preserve"> </w:t>
      </w:r>
      <w:r w:rsidRPr="006C28E0">
        <w:rPr>
          <w:rFonts w:ascii="Candara" w:eastAsiaTheme="majorEastAsia" w:hAnsi="Candara" w:cs="Times New Roman"/>
          <w:b/>
          <w:bCs/>
          <w:color w:val="000000" w:themeColor="text1"/>
          <w:sz w:val="24"/>
          <w:szCs w:val="24"/>
          <w:lang w:eastAsia="pt-BR"/>
        </w:rPr>
        <w:t>56.420.147,54 (cinquenta milhões e seis milhões quatrocentos e vinte mil cento e quarenta e sete reais e cinquenta e quatro centavos)</w:t>
      </w:r>
    </w:p>
    <w:p w:rsidR="006C28E0" w:rsidRPr="006C28E0" w:rsidRDefault="006C28E0" w:rsidP="006C28E0">
      <w:pPr>
        <w:spacing w:after="0" w:line="240" w:lineRule="auto"/>
        <w:jc w:val="both"/>
        <w:rPr>
          <w:rFonts w:ascii="Candara" w:eastAsia="Times New Roman" w:hAnsi="Candara" w:cs="Times New Roman"/>
          <w:sz w:val="24"/>
          <w:szCs w:val="24"/>
          <w:lang w:eastAsia="pt-BR"/>
        </w:rPr>
      </w:pPr>
    </w:p>
    <w:p w:rsidR="006C28E0" w:rsidRPr="006C28E0" w:rsidRDefault="006C28E0" w:rsidP="006C28E0">
      <w:pPr>
        <w:spacing w:after="0" w:line="240" w:lineRule="auto"/>
        <w:jc w:val="both"/>
        <w:rPr>
          <w:rFonts w:ascii="Candara" w:hAnsi="Candara" w:cs="Times New Roman"/>
          <w:sz w:val="24"/>
          <w:szCs w:val="24"/>
          <w14:ligatures w14:val="standardContextual"/>
        </w:rPr>
      </w:pPr>
      <w:r w:rsidRPr="006C28E0">
        <w:rPr>
          <w:rFonts w:ascii="Candara" w:hAnsi="Candara" w:cs="Times New Roman"/>
          <w:sz w:val="24"/>
          <w:szCs w:val="24"/>
          <w14:ligatures w14:val="standardContextual"/>
        </w:rPr>
        <w:t>I – O Orçamento Fiscal refere-se aos Poderes Legislativo e Executivo, seus órgãos, entidades e fundos da administração direta e indireta;</w:t>
      </w:r>
    </w:p>
    <w:p w:rsidR="006C28E0" w:rsidRPr="006C28E0" w:rsidRDefault="006C28E0" w:rsidP="006C28E0">
      <w:pPr>
        <w:spacing w:after="0" w:line="240" w:lineRule="auto"/>
        <w:jc w:val="both"/>
        <w:rPr>
          <w:rFonts w:ascii="Candara" w:eastAsia="MS Gothic" w:hAnsi="Candara" w:cs="Times New Roman"/>
          <w:sz w:val="24"/>
          <w:szCs w:val="24"/>
          <w14:ligatures w14:val="standardContextual"/>
        </w:rPr>
      </w:pPr>
    </w:p>
    <w:p w:rsidR="006C28E0" w:rsidRPr="006C28E0" w:rsidRDefault="006C28E0" w:rsidP="006C28E0">
      <w:pPr>
        <w:spacing w:after="0" w:line="240" w:lineRule="auto"/>
        <w:jc w:val="both"/>
        <w:rPr>
          <w:rFonts w:ascii="Candara" w:hAnsi="Candara" w:cs="Times New Roman"/>
          <w:sz w:val="24"/>
          <w:szCs w:val="24"/>
          <w14:ligatures w14:val="standardContextual"/>
        </w:rPr>
      </w:pPr>
      <w:r w:rsidRPr="006C28E0">
        <w:rPr>
          <w:rFonts w:ascii="Candara" w:hAnsi="Candara" w:cs="Times New Roman"/>
          <w:sz w:val="24"/>
          <w:szCs w:val="24"/>
          <w14:ligatures w14:val="standardContextual"/>
        </w:rPr>
        <w:t>II – O Orçamento da Seguridade Social abrange todas as entidades e órgãos a ela vinculados, bem como os fundos instituídos e mantidos pelo Poder Público.</w:t>
      </w:r>
    </w:p>
    <w:p w:rsidR="006C28E0" w:rsidRPr="006C28E0" w:rsidRDefault="006C28E0" w:rsidP="006C28E0">
      <w:pPr>
        <w:spacing w:after="0" w:line="240" w:lineRule="auto"/>
        <w:jc w:val="both"/>
        <w:rPr>
          <w:rFonts w:ascii="Candara" w:eastAsiaTheme="majorEastAsia" w:hAnsi="Candara" w:cs="Times New Roman"/>
          <w:b/>
          <w:bCs/>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heme="majorEastAsia" w:hAnsi="Candara" w:cs="Times New Roman"/>
          <w:b/>
          <w:bCs/>
          <w:color w:val="000000" w:themeColor="text1"/>
          <w:sz w:val="24"/>
          <w:szCs w:val="24"/>
          <w:lang w:eastAsia="pt-BR"/>
        </w:rPr>
        <w:t>Art. 3º.</w:t>
      </w:r>
      <w:r w:rsidRPr="006C28E0">
        <w:rPr>
          <w:rFonts w:ascii="Candara" w:eastAsia="Times New Roman" w:hAnsi="Candara" w:cs="Times New Roman"/>
          <w:color w:val="000000" w:themeColor="text1"/>
          <w:sz w:val="24"/>
          <w:szCs w:val="24"/>
          <w:lang w:eastAsia="pt-BR"/>
        </w:rPr>
        <w:t xml:space="preserve"> A receita decorrerá da arrecadação de tributos, contribuições e outras receitas correntes e de capital, previstas na legislação vigente e estimadas com o seguinte desdobramento:</w:t>
      </w: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tbl>
      <w:tblPr>
        <w:tblW w:w="9940" w:type="dxa"/>
        <w:tblLayout w:type="fixed"/>
        <w:tblCellMar>
          <w:left w:w="10" w:type="dxa"/>
          <w:right w:w="10" w:type="dxa"/>
        </w:tblCellMar>
        <w:tblLook w:val="0000" w:firstRow="0" w:lastRow="0" w:firstColumn="0" w:lastColumn="0" w:noHBand="0" w:noVBand="0"/>
      </w:tblPr>
      <w:tblGrid>
        <w:gridCol w:w="4800"/>
        <w:gridCol w:w="4409"/>
        <w:gridCol w:w="671"/>
        <w:gridCol w:w="60"/>
      </w:tblGrid>
      <w:tr w:rsidR="006C28E0" w:rsidRPr="006C28E0" w:rsidTr="00D662BA">
        <w:trPr>
          <w:trHeight w:hRule="exact" w:val="300"/>
        </w:trPr>
        <w:tc>
          <w:tcPr>
            <w:tcW w:w="4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TÍTULOS</w:t>
            </w:r>
          </w:p>
        </w:tc>
        <w:tc>
          <w:tcPr>
            <w:tcW w:w="4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TOTAL</w:t>
            </w: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8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RECEITA TRIBUTÁRIA</w:t>
            </w:r>
          </w:p>
        </w:tc>
        <w:tc>
          <w:tcPr>
            <w:tcW w:w="4409"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4.330.120,37</w:t>
            </w: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8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RECEITA DE CONTRIBUIÇÕES</w:t>
            </w:r>
          </w:p>
        </w:tc>
        <w:tc>
          <w:tcPr>
            <w:tcW w:w="4409"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244.394,00</w:t>
            </w: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8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RECEITA PATRIMONIAL</w:t>
            </w:r>
          </w:p>
        </w:tc>
        <w:tc>
          <w:tcPr>
            <w:tcW w:w="4409"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197.556,85</w:t>
            </w: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8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TRANSFERÊNCIAS CORRENTES</w:t>
            </w:r>
          </w:p>
        </w:tc>
        <w:tc>
          <w:tcPr>
            <w:tcW w:w="4409"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46.450.530,02</w:t>
            </w: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8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OUTRAS RECEITAS CORRENTES</w:t>
            </w:r>
          </w:p>
        </w:tc>
        <w:tc>
          <w:tcPr>
            <w:tcW w:w="4409"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26.007,50</w:t>
            </w: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color w:val="000000"/>
                <w:sz w:val="24"/>
                <w:szCs w:val="24"/>
                <w:lang w:eastAsia="pt-BR"/>
              </w:rPr>
              <w:t>SUB-TOTAL</w:t>
            </w:r>
          </w:p>
        </w:tc>
        <w:tc>
          <w:tcPr>
            <w:tcW w:w="4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51.248.608,74</w:t>
            </w: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8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TRANFERÊNCIAS DE CAPITAL</w:t>
            </w:r>
          </w:p>
        </w:tc>
        <w:tc>
          <w:tcPr>
            <w:tcW w:w="4409"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5.171.538,80</w:t>
            </w: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20"/>
        </w:trPr>
        <w:tc>
          <w:tcPr>
            <w:tcW w:w="9209" w:type="dxa"/>
            <w:gridSpan w:val="2"/>
            <w:tcBorders>
              <w:top w:val="single" w:sz="4" w:space="0" w:color="000000"/>
            </w:tcBorders>
            <w:shd w:val="clear" w:color="auto" w:fill="FFFFFF"/>
            <w:tcMar>
              <w:top w:w="0" w:type="dxa"/>
              <w:left w:w="0" w:type="dxa"/>
              <w:bottom w:w="0" w:type="dxa"/>
              <w:right w:w="0" w:type="dxa"/>
            </w:tcMar>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71"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bl>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heme="majorEastAsia" w:hAnsi="Candara" w:cs="Times New Roman"/>
          <w:b/>
          <w:bCs/>
          <w:color w:val="000000" w:themeColor="text1"/>
          <w:sz w:val="24"/>
          <w:szCs w:val="24"/>
          <w:lang w:eastAsia="pt-BR"/>
        </w:rPr>
        <w:t>Art. 4º.</w:t>
      </w:r>
      <w:r w:rsidRPr="006C28E0">
        <w:rPr>
          <w:rFonts w:ascii="Candara" w:eastAsia="Times New Roman" w:hAnsi="Candara" w:cs="Times New Roman"/>
          <w:color w:val="000000" w:themeColor="text1"/>
          <w:sz w:val="24"/>
          <w:szCs w:val="24"/>
          <w:lang w:eastAsia="pt-BR"/>
        </w:rPr>
        <w:t xml:space="preserve"> A Receita será realizada com base na arrecadação direta, das transferências constitucionais, voluntárias e outras rendas, conforme legislação em vigor, de acordo com os códigos e denominações da Receita Pública instituídos pelas Portarias do Secretário do Tesouro Nacional, que aprova o Manual de Procedimentos da Receita Pública.</w:t>
      </w: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spacing w:after="0" w:line="240" w:lineRule="auto"/>
        <w:jc w:val="center"/>
        <w:outlineLvl w:val="2"/>
        <w:rPr>
          <w:rFonts w:ascii="Candara" w:eastAsia="Cambria" w:hAnsi="Candara" w:cs="Times New Roman"/>
          <w:b/>
          <w:bCs/>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CAPÍTULO II</w:t>
      </w:r>
    </w:p>
    <w:p w:rsidR="006C28E0" w:rsidRPr="006C28E0" w:rsidRDefault="006C28E0" w:rsidP="006C28E0">
      <w:pPr>
        <w:spacing w:after="0" w:line="240" w:lineRule="auto"/>
        <w:jc w:val="center"/>
        <w:outlineLvl w:val="2"/>
        <w:rPr>
          <w:rFonts w:ascii="Candara" w:eastAsia="Cambria" w:hAnsi="Candara" w:cs="Times New Roman"/>
          <w:b/>
          <w:bCs/>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DA FIXAÇÃO DA DESPESA</w:t>
      </w:r>
    </w:p>
    <w:p w:rsidR="006C28E0" w:rsidRPr="006C28E0" w:rsidRDefault="006C28E0" w:rsidP="006C28E0">
      <w:pPr>
        <w:spacing w:after="0" w:line="240" w:lineRule="auto"/>
        <w:jc w:val="center"/>
        <w:rPr>
          <w:rFonts w:ascii="Candara" w:eastAsia="Times New Roman" w:hAnsi="Candara" w:cs="Times New Roman"/>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heme="majorEastAsia" w:hAnsi="Candara" w:cs="Times New Roman"/>
          <w:b/>
          <w:bCs/>
          <w:color w:val="000000" w:themeColor="text1"/>
          <w:sz w:val="24"/>
          <w:szCs w:val="24"/>
          <w:lang w:eastAsia="pt-BR"/>
        </w:rPr>
        <w:t>Art. 5º.</w:t>
      </w:r>
      <w:r w:rsidRPr="006C28E0">
        <w:rPr>
          <w:rFonts w:ascii="Candara" w:eastAsia="Times New Roman" w:hAnsi="Candara" w:cs="Times New Roman"/>
          <w:color w:val="000000" w:themeColor="text1"/>
          <w:sz w:val="24"/>
          <w:szCs w:val="24"/>
          <w:lang w:eastAsia="pt-BR"/>
        </w:rPr>
        <w:t xml:space="preserve"> A despesa total fixada é no valor de </w:t>
      </w:r>
      <w:r w:rsidRPr="006C28E0">
        <w:rPr>
          <w:rFonts w:ascii="Candara" w:eastAsiaTheme="majorEastAsia" w:hAnsi="Candara" w:cs="Times New Roman"/>
          <w:b/>
          <w:bCs/>
          <w:color w:val="000000" w:themeColor="text1"/>
          <w:sz w:val="24"/>
          <w:szCs w:val="24"/>
          <w:lang w:eastAsia="pt-BR"/>
        </w:rPr>
        <w:t>R$ 56.420.147,54 (cinquenta milhões e seis milhões quatrocentos e vinte mil cento e quarenta e sete reais e cinquenta e quatro centavos)</w:t>
      </w:r>
      <w:r w:rsidRPr="006C28E0">
        <w:rPr>
          <w:rFonts w:ascii="Candara" w:eastAsia="Times New Roman" w:hAnsi="Candara" w:cs="Times New Roman"/>
          <w:color w:val="000000" w:themeColor="text1"/>
          <w:sz w:val="24"/>
          <w:szCs w:val="24"/>
          <w:lang w:eastAsia="pt-BR"/>
        </w:rPr>
        <w:t>, conforme a seguir discriminado:</w:t>
      </w: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spacing w:after="0" w:line="240" w:lineRule="auto"/>
        <w:jc w:val="both"/>
        <w:outlineLvl w:val="3"/>
        <w:rPr>
          <w:rFonts w:ascii="Candara" w:eastAsia="Times New Roman" w:hAnsi="Candara" w:cs="Times New Roman"/>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I – Por Órgãos e Unidades</w:t>
      </w:r>
    </w:p>
    <w:p w:rsidR="006C28E0" w:rsidRPr="006C28E0" w:rsidRDefault="006C28E0" w:rsidP="006C28E0">
      <w:pPr>
        <w:spacing w:after="0" w:line="240" w:lineRule="auto"/>
        <w:jc w:val="both"/>
        <w:rPr>
          <w:rFonts w:ascii="Candara" w:eastAsiaTheme="majorEastAsia" w:hAnsi="Candara" w:cs="Times New Roman"/>
          <w:b/>
          <w:bCs/>
          <w:color w:val="000000" w:themeColor="text1"/>
          <w:sz w:val="24"/>
          <w:szCs w:val="24"/>
          <w:lang w:eastAsia="pt-BR"/>
        </w:rPr>
      </w:pPr>
    </w:p>
    <w:tbl>
      <w:tblPr>
        <w:tblW w:w="9965" w:type="dxa"/>
        <w:tblInd w:w="-5" w:type="dxa"/>
        <w:tblLayout w:type="fixed"/>
        <w:tblCellMar>
          <w:left w:w="10" w:type="dxa"/>
          <w:right w:w="10" w:type="dxa"/>
        </w:tblCellMar>
        <w:tblLook w:val="0000" w:firstRow="0" w:lastRow="0" w:firstColumn="0" w:lastColumn="0" w:noHBand="0" w:noVBand="0"/>
      </w:tblPr>
      <w:tblGrid>
        <w:gridCol w:w="1385"/>
        <w:gridCol w:w="200"/>
        <w:gridCol w:w="3120"/>
        <w:gridCol w:w="40"/>
        <w:gridCol w:w="680"/>
        <w:gridCol w:w="1000"/>
        <w:gridCol w:w="40"/>
        <w:gridCol w:w="1160"/>
        <w:gridCol w:w="520"/>
        <w:gridCol w:w="40"/>
        <w:gridCol w:w="1680"/>
        <w:gridCol w:w="40"/>
        <w:gridCol w:w="60"/>
      </w:tblGrid>
      <w:tr w:rsidR="006C28E0" w:rsidRPr="006C28E0" w:rsidTr="00D662BA">
        <w:trPr>
          <w:trHeight w:hRule="exact" w:val="300"/>
        </w:trPr>
        <w:tc>
          <w:tcPr>
            <w:tcW w:w="4745"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DISCRIMINAÇÃO</w:t>
            </w:r>
          </w:p>
        </w:tc>
        <w:tc>
          <w:tcPr>
            <w:tcW w:w="1720"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FISCAL</w:t>
            </w:r>
          </w:p>
        </w:tc>
        <w:tc>
          <w:tcPr>
            <w:tcW w:w="1720"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SEGURIDADE</w:t>
            </w:r>
          </w:p>
        </w:tc>
        <w:tc>
          <w:tcPr>
            <w:tcW w:w="172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TOTAL</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460"/>
        </w:trPr>
        <w:tc>
          <w:tcPr>
            <w:tcW w:w="4745" w:type="dxa"/>
            <w:gridSpan w:val="4"/>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Secretaria Municipal de Assistência Social</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3.447.130,00</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20" w:type="dxa"/>
            <w:gridSpan w:val="2"/>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3.447.130,00</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460"/>
        </w:trPr>
        <w:tc>
          <w:tcPr>
            <w:tcW w:w="4745" w:type="dxa"/>
            <w:gridSpan w:val="4"/>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Secretaria Municipal de Educação, Cultura e Lazer</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892.555,00</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20" w:type="dxa"/>
            <w:gridSpan w:val="2"/>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892.555,00</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45" w:type="dxa"/>
            <w:gridSpan w:val="4"/>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Secretaria Municipal de Finanças</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2.979.124,94</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20" w:type="dxa"/>
            <w:gridSpan w:val="2"/>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2.979.124,94</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45" w:type="dxa"/>
            <w:gridSpan w:val="4"/>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Secretaria Municipal de Saúde</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79.170,00</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20" w:type="dxa"/>
            <w:gridSpan w:val="2"/>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79.170,00</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680"/>
        </w:trPr>
        <w:tc>
          <w:tcPr>
            <w:tcW w:w="4745" w:type="dxa"/>
            <w:gridSpan w:val="4"/>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Secretaria Municipal de Infraestrutura, Estradas e Desenvolvimento Urbano</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5.390.950,00</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20" w:type="dxa"/>
            <w:gridSpan w:val="2"/>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5.390.950,00</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45" w:type="dxa"/>
            <w:gridSpan w:val="4"/>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Secretaria Municipal de Esporte</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503.100,00</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20" w:type="dxa"/>
            <w:gridSpan w:val="2"/>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503.100,00</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6C28E0">
        <w:trPr>
          <w:trHeight w:hRule="exact" w:val="636"/>
        </w:trPr>
        <w:tc>
          <w:tcPr>
            <w:tcW w:w="4745" w:type="dxa"/>
            <w:gridSpan w:val="4"/>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SansSerif" w:hAnsi="Candara" w:cs="Times New Roman"/>
                <w:color w:val="000000"/>
                <w:sz w:val="24"/>
                <w:szCs w:val="24"/>
                <w:lang w:eastAsia="pt-BR"/>
              </w:rPr>
            </w:pPr>
            <w:r w:rsidRPr="006C28E0">
              <w:rPr>
                <w:rFonts w:ascii="Candara" w:eastAsia="SansSerif" w:hAnsi="Candara" w:cs="Times New Roman"/>
                <w:color w:val="000000"/>
                <w:sz w:val="24"/>
                <w:szCs w:val="24"/>
                <w:lang w:eastAsia="pt-BR"/>
              </w:rPr>
              <w:t>Secretaria Municipal de Meio Ambiente e Turismo</w:t>
            </w:r>
          </w:p>
          <w:p w:rsidR="006C28E0" w:rsidRPr="006C28E0" w:rsidRDefault="006C28E0" w:rsidP="006C28E0">
            <w:pPr>
              <w:spacing w:after="0" w:line="240" w:lineRule="auto"/>
              <w:jc w:val="both"/>
              <w:rPr>
                <w:rFonts w:ascii="Candara" w:eastAsia="SansSerif" w:hAnsi="Candara" w:cs="Times New Roman"/>
                <w:color w:val="000000"/>
                <w:sz w:val="24"/>
                <w:szCs w:val="24"/>
                <w:lang w:eastAsia="pt-BR"/>
              </w:rPr>
            </w:pPr>
          </w:p>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1.313.540,00</w:t>
            </w:r>
          </w:p>
        </w:tc>
        <w:tc>
          <w:tcPr>
            <w:tcW w:w="1720" w:type="dxa"/>
            <w:gridSpan w:val="3"/>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20" w:type="dxa"/>
            <w:gridSpan w:val="2"/>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1.313.540,00</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45"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color w:val="000000"/>
                <w:sz w:val="24"/>
                <w:szCs w:val="24"/>
                <w:lang w:eastAsia="pt-BR"/>
              </w:rPr>
              <w:t>TOTAL GERAL</w:t>
            </w:r>
          </w:p>
        </w:tc>
        <w:tc>
          <w:tcPr>
            <w:tcW w:w="1720"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56.420.147,54</w:t>
            </w:r>
          </w:p>
        </w:tc>
        <w:tc>
          <w:tcPr>
            <w:tcW w:w="1720"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0,00</w:t>
            </w:r>
          </w:p>
        </w:tc>
        <w:tc>
          <w:tcPr>
            <w:tcW w:w="1720"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56.420.147,54</w:t>
            </w: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20"/>
        </w:trPr>
        <w:tc>
          <w:tcPr>
            <w:tcW w:w="9905" w:type="dxa"/>
            <w:gridSpan w:val="12"/>
            <w:tcBorders>
              <w:top w:val="single" w:sz="4" w:space="0" w:color="000000"/>
            </w:tcBorders>
            <w:shd w:val="clear" w:color="auto" w:fill="FFFFFF"/>
            <w:tcMar>
              <w:top w:w="0" w:type="dxa"/>
              <w:left w:w="0" w:type="dxa"/>
              <w:bottom w:w="0" w:type="dxa"/>
              <w:right w:w="0" w:type="dxa"/>
            </w:tcMar>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200"/>
        </w:trPr>
        <w:tc>
          <w:tcPr>
            <w:tcW w:w="1385"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20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31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4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8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100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4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11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5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4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168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4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bl>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heme="majorEastAsia" w:hAnsi="Candara" w:cs="Times New Roman"/>
          <w:b/>
          <w:bCs/>
          <w:color w:val="000000" w:themeColor="text1"/>
          <w:sz w:val="24"/>
          <w:szCs w:val="24"/>
          <w:lang w:eastAsia="pt-BR"/>
        </w:rPr>
        <w:t>Art. 6º.</w:t>
      </w:r>
      <w:r w:rsidRPr="006C28E0">
        <w:rPr>
          <w:rFonts w:ascii="Candara" w:eastAsia="Times New Roman" w:hAnsi="Candara" w:cs="Times New Roman"/>
          <w:color w:val="000000" w:themeColor="text1"/>
          <w:sz w:val="24"/>
          <w:szCs w:val="24"/>
          <w:lang w:eastAsia="pt-BR"/>
        </w:rPr>
        <w:t xml:space="preserve"> A despesa fixada à conta dos recursos previstos neste capítulo, observada a programação anexa, apresenta o seguinte desdobramento:</w:t>
      </w:r>
    </w:p>
    <w:p w:rsidR="006C28E0" w:rsidRPr="006C28E0" w:rsidRDefault="006C28E0" w:rsidP="006C28E0">
      <w:pPr>
        <w:spacing w:after="0" w:line="240" w:lineRule="auto"/>
        <w:jc w:val="both"/>
        <w:outlineLvl w:val="3"/>
        <w:rPr>
          <w:rFonts w:ascii="Candara" w:eastAsia="Cambria" w:hAnsi="Candara" w:cs="Times New Roman"/>
          <w:b/>
          <w:bCs/>
          <w:color w:val="000000" w:themeColor="text1"/>
          <w:sz w:val="24"/>
          <w:szCs w:val="24"/>
          <w:lang w:eastAsia="pt-BR"/>
        </w:rPr>
      </w:pPr>
    </w:p>
    <w:p w:rsidR="006C28E0" w:rsidRPr="006C28E0" w:rsidRDefault="006C28E0" w:rsidP="006C28E0">
      <w:pPr>
        <w:spacing w:after="0" w:line="240" w:lineRule="auto"/>
        <w:jc w:val="both"/>
        <w:outlineLvl w:val="3"/>
        <w:rPr>
          <w:rFonts w:ascii="Candara" w:eastAsia="Times New Roman" w:hAnsi="Candara" w:cs="Times New Roman"/>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II – Por Funções</w:t>
      </w:r>
    </w:p>
    <w:tbl>
      <w:tblPr>
        <w:tblW w:w="0" w:type="auto"/>
        <w:tblLayout w:type="fixed"/>
        <w:tblCellMar>
          <w:left w:w="10" w:type="dxa"/>
          <w:right w:w="10" w:type="dxa"/>
        </w:tblCellMar>
        <w:tblLook w:val="0000" w:firstRow="0" w:lastRow="0" w:firstColumn="0" w:lastColumn="0" w:noHBand="0" w:noVBand="0"/>
      </w:tblPr>
      <w:tblGrid>
        <w:gridCol w:w="4700"/>
        <w:gridCol w:w="1700"/>
        <w:gridCol w:w="1700"/>
        <w:gridCol w:w="1700"/>
        <w:gridCol w:w="40"/>
        <w:gridCol w:w="60"/>
      </w:tblGrid>
      <w:tr w:rsidR="006C28E0" w:rsidRPr="006C28E0" w:rsidTr="00D662BA">
        <w:trPr>
          <w:trHeight w:hRule="exact" w:val="300"/>
        </w:trPr>
        <w:tc>
          <w:tcPr>
            <w:tcW w:w="4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DISCRIMINAÇÃO</w:t>
            </w:r>
          </w:p>
        </w:tc>
        <w:tc>
          <w:tcPr>
            <w:tcW w:w="1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FISCAL</w:t>
            </w:r>
          </w:p>
        </w:tc>
        <w:tc>
          <w:tcPr>
            <w:tcW w:w="1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SEGURIDADE</w:t>
            </w:r>
          </w:p>
        </w:tc>
        <w:tc>
          <w:tcPr>
            <w:tcW w:w="1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b/>
                <w:color w:val="000000"/>
                <w:sz w:val="24"/>
                <w:szCs w:val="24"/>
                <w:lang w:eastAsia="pt-BR"/>
              </w:rPr>
              <w:t>TOTAL</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Administração</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11.173.147,94</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11.173.147,94</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Administração</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963.090,00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963.090,00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Agricultura</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346.000,00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346.000,00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Assistência Social</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29.355,00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29.355,00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Assistência Social</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74.400,00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74.400,00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Assistência Social</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3.090.765,00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3.090.765,00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Assistência Social</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296.640,00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296.640,00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Comércio e Serviços</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46.350,00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46.350,00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Cultura</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827.555,00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827.555,00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Desporto e Lazer</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584.470,00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584.470,00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Direitos da Cidadania</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220.500,00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220.500,00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Educação</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11.628.640,00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11.628.640,00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Encargos Especiais</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172.352,00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172.352,00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Energia</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1.343.050,00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1.343.050,00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Gestão Ambiental</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560.490,00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560.490,00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Habitação</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3.100.000,00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3.100.000,00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Legislativa</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2.520.000,00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2.520.000,00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Reserva de Contingência</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309.000,00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309.000,00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Saneamento</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2.024.500,00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2.024.500,00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Saúde</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16.385.642,60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16.385.642,60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Transporte</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103.000,00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103.000,00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Urbanismo</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621.200,00</w:t>
            </w: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p>
        </w:tc>
        <w:tc>
          <w:tcPr>
            <w:tcW w:w="1700" w:type="dxa"/>
            <w:tcBorders>
              <w:left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621.200,00</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r w:rsidR="006C28E0" w:rsidRPr="006C28E0" w:rsidTr="00D662BA">
        <w:trPr>
          <w:trHeight w:hRule="exact" w:val="300"/>
        </w:trPr>
        <w:tc>
          <w:tcPr>
            <w:tcW w:w="4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Win Arial" w:hAnsi="Candara" w:cs="Times New Roman"/>
                <w:color w:val="000000"/>
                <w:sz w:val="24"/>
                <w:szCs w:val="24"/>
                <w:lang w:eastAsia="pt-BR"/>
              </w:rPr>
              <w:t>TOTAL GERAL</w:t>
            </w:r>
          </w:p>
        </w:tc>
        <w:tc>
          <w:tcPr>
            <w:tcW w:w="1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56.420.147,54</w:t>
            </w:r>
          </w:p>
        </w:tc>
        <w:tc>
          <w:tcPr>
            <w:tcW w:w="1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0,00</w:t>
            </w:r>
          </w:p>
        </w:tc>
        <w:tc>
          <w:tcPr>
            <w:tcW w:w="1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0" w:type="dxa"/>
            </w:tcMar>
            <w:vAlign w:val="center"/>
          </w:tcPr>
          <w:p w:rsidR="006C28E0" w:rsidRPr="006C28E0" w:rsidRDefault="006C28E0" w:rsidP="006C28E0">
            <w:pPr>
              <w:spacing w:after="0" w:line="240" w:lineRule="auto"/>
              <w:jc w:val="both"/>
              <w:rPr>
                <w:rFonts w:ascii="Candara" w:eastAsia="Times New Roman" w:hAnsi="Candara" w:cs="Times New Roman"/>
                <w:sz w:val="24"/>
                <w:szCs w:val="24"/>
                <w:lang w:eastAsia="pt-BR"/>
              </w:rPr>
            </w:pPr>
            <w:r w:rsidRPr="006C28E0">
              <w:rPr>
                <w:rFonts w:ascii="Candara" w:eastAsia="SansSerif" w:hAnsi="Candara" w:cs="Times New Roman"/>
                <w:color w:val="000000"/>
                <w:sz w:val="24"/>
                <w:szCs w:val="24"/>
                <w:lang w:eastAsia="pt-BR"/>
              </w:rPr>
              <w:t>56.420.147,54</w:t>
            </w:r>
          </w:p>
        </w:tc>
        <w:tc>
          <w:tcPr>
            <w:tcW w:w="2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c>
          <w:tcPr>
            <w:tcW w:w="60" w:type="dxa"/>
          </w:tcPr>
          <w:p w:rsidR="006C28E0" w:rsidRPr="006C28E0" w:rsidRDefault="006C28E0" w:rsidP="006C28E0">
            <w:pPr>
              <w:spacing w:after="0" w:line="240" w:lineRule="auto"/>
              <w:jc w:val="both"/>
              <w:rPr>
                <w:rFonts w:ascii="Candara" w:eastAsia="Win Arial" w:hAnsi="Candara" w:cs="Times New Roman"/>
                <w:color w:val="000000"/>
                <w:sz w:val="24"/>
                <w:szCs w:val="24"/>
                <w:lang w:eastAsia="pt-BR"/>
              </w:rPr>
            </w:pPr>
          </w:p>
        </w:tc>
      </w:tr>
    </w:tbl>
    <w:p w:rsidR="006C28E0" w:rsidRPr="006C28E0" w:rsidRDefault="006C28E0" w:rsidP="006C28E0">
      <w:pPr>
        <w:spacing w:after="0" w:line="240" w:lineRule="auto"/>
        <w:jc w:val="both"/>
        <w:outlineLvl w:val="1"/>
        <w:rPr>
          <w:rFonts w:ascii="Candara" w:eastAsia="Cambria" w:hAnsi="Candara" w:cs="Times New Roman"/>
          <w:b/>
          <w:bCs/>
          <w:color w:val="000000" w:themeColor="text1"/>
          <w:sz w:val="24"/>
          <w:szCs w:val="24"/>
          <w:lang w:eastAsia="pt-BR"/>
        </w:rPr>
      </w:pPr>
    </w:p>
    <w:p w:rsidR="006C28E0" w:rsidRPr="006C28E0" w:rsidRDefault="006C28E0" w:rsidP="006C28E0">
      <w:pPr>
        <w:spacing w:after="0" w:line="240" w:lineRule="auto"/>
        <w:jc w:val="center"/>
        <w:outlineLvl w:val="1"/>
        <w:rPr>
          <w:rFonts w:ascii="Candara" w:eastAsia="Cambria" w:hAnsi="Candara" w:cs="Times New Roman"/>
          <w:b/>
          <w:bCs/>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CAPÍTULO III</w:t>
      </w:r>
    </w:p>
    <w:p w:rsidR="006C28E0" w:rsidRPr="006C28E0" w:rsidRDefault="006C28E0" w:rsidP="006C28E0">
      <w:pPr>
        <w:spacing w:after="0" w:line="240" w:lineRule="auto"/>
        <w:jc w:val="center"/>
        <w:outlineLvl w:val="1"/>
        <w:rPr>
          <w:rFonts w:ascii="Candara" w:eastAsia="Times New Roman" w:hAnsi="Candara" w:cs="Times New Roman"/>
          <w:color w:val="000000" w:themeColor="text1"/>
          <w:sz w:val="24"/>
          <w:szCs w:val="24"/>
          <w:lang w:eastAsia="pt-BR"/>
        </w:rPr>
      </w:pPr>
      <w:r w:rsidRPr="006C28E0">
        <w:rPr>
          <w:rFonts w:ascii="Candara" w:eastAsia="Cambria" w:hAnsi="Candara" w:cs="Times New Roman"/>
          <w:b/>
          <w:bCs/>
          <w:color w:val="000000" w:themeColor="text1"/>
          <w:sz w:val="24"/>
          <w:szCs w:val="24"/>
          <w:lang w:eastAsia="pt-BR"/>
        </w:rPr>
        <w:t>DAS AUTORIZAÇÕES</w:t>
      </w:r>
    </w:p>
    <w:p w:rsidR="006C28E0" w:rsidRPr="006C28E0" w:rsidRDefault="006C28E0" w:rsidP="006C28E0">
      <w:pPr>
        <w:spacing w:after="0" w:line="240" w:lineRule="auto"/>
        <w:jc w:val="both"/>
        <w:rPr>
          <w:rFonts w:ascii="Candara" w:eastAsiaTheme="majorEastAsia" w:hAnsi="Candara" w:cs="Times New Roman"/>
          <w:b/>
          <w:bCs/>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heme="majorEastAsia" w:hAnsi="Candara" w:cs="Times New Roman"/>
          <w:b/>
          <w:bCs/>
          <w:color w:val="000000" w:themeColor="text1"/>
          <w:sz w:val="24"/>
          <w:szCs w:val="24"/>
          <w:lang w:eastAsia="pt-BR"/>
        </w:rPr>
        <w:t>Art. 7º.</w:t>
      </w:r>
      <w:r w:rsidRPr="006C28E0">
        <w:rPr>
          <w:rFonts w:ascii="Candara" w:eastAsia="Times New Roman" w:hAnsi="Candara" w:cs="Times New Roman"/>
          <w:color w:val="000000" w:themeColor="text1"/>
          <w:sz w:val="24"/>
          <w:szCs w:val="24"/>
          <w:lang w:eastAsia="pt-BR"/>
        </w:rPr>
        <w:t xml:space="preserve"> Fica o Chefe do Poder Executivo e Poder Legislativo autorizados a:</w:t>
      </w: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imes New Roman" w:hAnsi="Candara" w:cs="Times New Roman"/>
          <w:color w:val="000000" w:themeColor="text1"/>
          <w:sz w:val="24"/>
          <w:szCs w:val="24"/>
          <w:lang w:eastAsia="pt-BR"/>
        </w:rPr>
        <w:t>I – Abrir créditos suplementares nos limites e com os recursos abaixo indicados:</w:t>
      </w: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numPr>
          <w:ilvl w:val="0"/>
          <w:numId w:val="1"/>
        </w:numPr>
        <w:spacing w:after="0" w:line="240" w:lineRule="auto"/>
        <w:jc w:val="both"/>
        <w:rPr>
          <w:rFonts w:ascii="Candara" w:hAnsi="Candara" w:cs="Times New Roman"/>
          <w:sz w:val="24"/>
          <w:szCs w:val="24"/>
          <w14:ligatures w14:val="standardContextual"/>
        </w:rPr>
      </w:pPr>
      <w:r w:rsidRPr="006C28E0">
        <w:rPr>
          <w:rFonts w:ascii="Candara" w:hAnsi="Candara" w:cs="Times New Roman"/>
          <w:sz w:val="24"/>
          <w:szCs w:val="24"/>
          <w14:ligatures w14:val="standardContextual"/>
        </w:rPr>
        <w:lastRenderedPageBreak/>
        <w:t>Decorrentes de anulação parcial ou total de dotações, até o limite de 80%, conforme art. 43, §1º, inciso III da Lei nº 4.320/64 e art. 167, inciso VI da Constituição Federal;</w:t>
      </w:r>
    </w:p>
    <w:p w:rsidR="006C28E0" w:rsidRPr="006C28E0" w:rsidRDefault="006C28E0" w:rsidP="006C28E0">
      <w:pPr>
        <w:spacing w:after="0" w:line="240" w:lineRule="auto"/>
        <w:ind w:left="720"/>
        <w:jc w:val="both"/>
        <w:rPr>
          <w:rFonts w:ascii="Candara" w:eastAsia="Times New Roman" w:hAnsi="Candara" w:cs="Times New Roman"/>
          <w:color w:val="000000" w:themeColor="text1"/>
          <w:sz w:val="24"/>
          <w:szCs w:val="24"/>
          <w:lang w:eastAsia="pt-BR"/>
        </w:rPr>
      </w:pPr>
    </w:p>
    <w:p w:rsidR="006C28E0" w:rsidRPr="006C28E0" w:rsidRDefault="006C28E0" w:rsidP="006C28E0">
      <w:pPr>
        <w:numPr>
          <w:ilvl w:val="0"/>
          <w:numId w:val="1"/>
        </w:numPr>
        <w:spacing w:after="0" w:line="240" w:lineRule="auto"/>
        <w:jc w:val="both"/>
        <w:rPr>
          <w:rFonts w:ascii="Candara" w:hAnsi="Candara" w:cs="Times New Roman"/>
          <w:sz w:val="24"/>
          <w:szCs w:val="24"/>
          <w14:ligatures w14:val="standardContextual"/>
        </w:rPr>
      </w:pPr>
      <w:r w:rsidRPr="006C28E0">
        <w:rPr>
          <w:rFonts w:ascii="Candara" w:hAnsi="Candara" w:cs="Times New Roman"/>
          <w:sz w:val="24"/>
          <w:szCs w:val="24"/>
          <w14:ligatures w14:val="standardContextual"/>
        </w:rPr>
        <w:t>Decorrentes de superávit financeiro, até o limite de 100%, conforme art. 43, §1º, inciso I e §2º da Lei nº 4.320/64;</w:t>
      </w:r>
    </w:p>
    <w:p w:rsidR="006C28E0" w:rsidRPr="006C28E0" w:rsidRDefault="006C28E0" w:rsidP="006C28E0">
      <w:pPr>
        <w:spacing w:after="0" w:line="240" w:lineRule="auto"/>
        <w:ind w:left="360"/>
        <w:jc w:val="both"/>
        <w:rPr>
          <w:rFonts w:ascii="Candara" w:eastAsia="MS Gothic" w:hAnsi="Candara" w:cs="Times New Roman"/>
          <w:sz w:val="24"/>
          <w:szCs w:val="24"/>
          <w:lang w:eastAsia="pt-BR"/>
          <w14:ligatures w14:val="standardContextual"/>
        </w:rPr>
      </w:pPr>
    </w:p>
    <w:p w:rsidR="006C28E0" w:rsidRPr="006C28E0" w:rsidRDefault="006C28E0" w:rsidP="006C28E0">
      <w:pPr>
        <w:numPr>
          <w:ilvl w:val="0"/>
          <w:numId w:val="1"/>
        </w:numPr>
        <w:spacing w:after="0" w:line="240" w:lineRule="auto"/>
        <w:jc w:val="both"/>
        <w:rPr>
          <w:rFonts w:ascii="Candara" w:hAnsi="Candara" w:cs="Times New Roman"/>
          <w:sz w:val="24"/>
          <w:szCs w:val="24"/>
          <w14:ligatures w14:val="standardContextual"/>
        </w:rPr>
      </w:pPr>
      <w:r w:rsidRPr="006C28E0">
        <w:rPr>
          <w:rFonts w:ascii="Candara" w:hAnsi="Candara" w:cs="Times New Roman"/>
          <w:sz w:val="24"/>
          <w:szCs w:val="24"/>
          <w14:ligatures w14:val="standardContextual"/>
        </w:rPr>
        <w:t>Decorrentes de excesso de arrecadação, até o limite de 100%, conforme art. 43, §1º, inciso II e §§3º e 4º da Lei nº 4.320/64;</w:t>
      </w:r>
    </w:p>
    <w:p w:rsidR="006C28E0" w:rsidRPr="006C28E0" w:rsidRDefault="006C28E0" w:rsidP="006C28E0">
      <w:pPr>
        <w:spacing w:after="0" w:line="240" w:lineRule="auto"/>
        <w:ind w:left="720"/>
        <w:contextualSpacing/>
        <w:jc w:val="both"/>
        <w:rPr>
          <w:rFonts w:ascii="Candara" w:eastAsia="MS Gothic" w:hAnsi="Candara" w:cs="Times New Roman"/>
          <w:sz w:val="24"/>
          <w:szCs w:val="24"/>
          <w14:ligatures w14:val="standardContextual"/>
        </w:rPr>
      </w:pPr>
    </w:p>
    <w:p w:rsidR="006C28E0" w:rsidRPr="006C28E0" w:rsidRDefault="006C28E0" w:rsidP="006C28E0">
      <w:pPr>
        <w:numPr>
          <w:ilvl w:val="0"/>
          <w:numId w:val="1"/>
        </w:numPr>
        <w:spacing w:after="0" w:line="240" w:lineRule="auto"/>
        <w:jc w:val="both"/>
        <w:rPr>
          <w:rFonts w:ascii="Candara" w:hAnsi="Candara" w:cs="Times New Roman"/>
          <w:sz w:val="24"/>
          <w:szCs w:val="24"/>
          <w14:ligatures w14:val="standardContextual"/>
        </w:rPr>
      </w:pPr>
      <w:proofErr w:type="gramStart"/>
      <w:r w:rsidRPr="006C28E0">
        <w:rPr>
          <w:rFonts w:ascii="Candara" w:hAnsi="Candara" w:cs="Times New Roman"/>
          <w:sz w:val="24"/>
          <w:szCs w:val="24"/>
          <w14:ligatures w14:val="standardContextual"/>
        </w:rPr>
        <w:t>abrir</w:t>
      </w:r>
      <w:proofErr w:type="gramEnd"/>
      <w:r w:rsidRPr="006C28E0">
        <w:rPr>
          <w:rFonts w:ascii="Candara" w:hAnsi="Candara" w:cs="Times New Roman"/>
          <w:sz w:val="24"/>
          <w:szCs w:val="24"/>
          <w14:ligatures w14:val="standardContextual"/>
        </w:rPr>
        <w:t xml:space="preserve"> créditos suplementares com os recursos consignados como reserva de contingência no orçamento para o exercício; </w:t>
      </w:r>
    </w:p>
    <w:p w:rsidR="006C28E0" w:rsidRPr="006C28E0" w:rsidRDefault="006C28E0" w:rsidP="006C28E0">
      <w:pPr>
        <w:spacing w:after="0" w:line="240" w:lineRule="auto"/>
        <w:ind w:left="720"/>
        <w:contextualSpacing/>
        <w:jc w:val="both"/>
        <w:rPr>
          <w:rFonts w:ascii="Candara" w:hAnsi="Candara" w:cs="Times New Roman"/>
          <w:sz w:val="24"/>
          <w:szCs w:val="24"/>
          <w14:ligatures w14:val="standardContextual"/>
        </w:rPr>
      </w:pPr>
    </w:p>
    <w:p w:rsidR="006C28E0" w:rsidRPr="006C28E0" w:rsidRDefault="006C28E0" w:rsidP="006C28E0">
      <w:pPr>
        <w:numPr>
          <w:ilvl w:val="0"/>
          <w:numId w:val="1"/>
        </w:numPr>
        <w:spacing w:after="0" w:line="240" w:lineRule="auto"/>
        <w:jc w:val="both"/>
        <w:rPr>
          <w:rFonts w:ascii="Candara" w:hAnsi="Candara" w:cs="Times New Roman"/>
          <w:sz w:val="24"/>
          <w:szCs w:val="24"/>
          <w14:ligatures w14:val="standardContextual"/>
        </w:rPr>
      </w:pPr>
      <w:proofErr w:type="gramStart"/>
      <w:r w:rsidRPr="006C28E0">
        <w:rPr>
          <w:rFonts w:ascii="Candara" w:hAnsi="Candara" w:cs="Times New Roman"/>
          <w:sz w:val="24"/>
          <w:szCs w:val="24"/>
          <w14:ligatures w14:val="standardContextual"/>
        </w:rPr>
        <w:t>transpor</w:t>
      </w:r>
      <w:proofErr w:type="gramEnd"/>
      <w:r w:rsidRPr="006C28E0">
        <w:rPr>
          <w:rFonts w:ascii="Candara" w:hAnsi="Candara" w:cs="Times New Roman"/>
          <w:sz w:val="24"/>
          <w:szCs w:val="24"/>
          <w14:ligatures w14:val="standardContextual"/>
        </w:rPr>
        <w:t>, remanejar, transferir recursos dentro da mesma categoria de ação ou programação por anulação de dotação - art. 43, § 1° inciso III da Lei Federal n° 4.320/64 - conforme alterações de competências e atribuições orçamentárias, atendendo o Art. 167, VI, até o limite de 100% do total do orçamento;</w:t>
      </w:r>
    </w:p>
    <w:p w:rsidR="006C28E0" w:rsidRPr="006C28E0" w:rsidRDefault="006C28E0" w:rsidP="006C28E0">
      <w:pPr>
        <w:spacing w:after="0" w:line="240" w:lineRule="auto"/>
        <w:ind w:left="720"/>
        <w:contextualSpacing/>
        <w:jc w:val="both"/>
        <w:rPr>
          <w:rFonts w:ascii="Candara" w:hAnsi="Candara" w:cs="Times New Roman"/>
          <w:sz w:val="24"/>
          <w:szCs w:val="24"/>
          <w14:ligatures w14:val="standardContextual"/>
        </w:rPr>
      </w:pPr>
    </w:p>
    <w:p w:rsidR="006C28E0" w:rsidRPr="006C28E0" w:rsidRDefault="006C28E0" w:rsidP="006C28E0">
      <w:pPr>
        <w:numPr>
          <w:ilvl w:val="0"/>
          <w:numId w:val="1"/>
        </w:numPr>
        <w:spacing w:after="0" w:line="240" w:lineRule="auto"/>
        <w:contextualSpacing/>
        <w:jc w:val="both"/>
        <w:rPr>
          <w:rFonts w:ascii="Candara" w:eastAsia="Times New Roman" w:hAnsi="Candara" w:cs="Times New Roman"/>
          <w:bCs/>
          <w:sz w:val="24"/>
          <w:szCs w:val="24"/>
          <w:lang w:eastAsia="pt-BR"/>
        </w:rPr>
      </w:pPr>
      <w:proofErr w:type="gramStart"/>
      <w:r w:rsidRPr="006C28E0">
        <w:rPr>
          <w:rFonts w:ascii="Candara" w:eastAsia="Times New Roman" w:hAnsi="Candara" w:cs="Times New Roman"/>
          <w:bCs/>
          <w:sz w:val="24"/>
          <w:szCs w:val="24"/>
          <w:lang w:eastAsia="pt-BR"/>
        </w:rPr>
        <w:t>os</w:t>
      </w:r>
      <w:proofErr w:type="gramEnd"/>
      <w:r w:rsidRPr="006C28E0">
        <w:rPr>
          <w:rFonts w:ascii="Candara" w:eastAsia="Times New Roman" w:hAnsi="Candara" w:cs="Times New Roman"/>
          <w:bCs/>
          <w:sz w:val="24"/>
          <w:szCs w:val="24"/>
          <w:lang w:eastAsia="pt-BR"/>
        </w:rPr>
        <w:t xml:space="preserve"> decretos de créditos adicionais decorrentes de leis específicas que contenham dispositivos que criem ações orçamentárias ou programas de governo não serão computadas no limite de abertura de crédito suplementar estabelecido na Lei Orçamentária Anual;</w:t>
      </w:r>
    </w:p>
    <w:p w:rsidR="006C28E0" w:rsidRPr="006C28E0" w:rsidRDefault="006C28E0" w:rsidP="006C28E0">
      <w:pPr>
        <w:spacing w:after="0" w:line="240" w:lineRule="auto"/>
        <w:ind w:left="720"/>
        <w:contextualSpacing/>
        <w:jc w:val="both"/>
        <w:rPr>
          <w:rFonts w:ascii="Candara" w:eastAsia="Times New Roman" w:hAnsi="Candara" w:cs="Times New Roman"/>
          <w:bCs/>
          <w:sz w:val="24"/>
          <w:szCs w:val="24"/>
          <w:lang w:eastAsia="pt-BR"/>
        </w:rPr>
      </w:pPr>
    </w:p>
    <w:p w:rsidR="006C28E0" w:rsidRPr="006C28E0" w:rsidRDefault="006C28E0" w:rsidP="006C28E0">
      <w:pPr>
        <w:spacing w:after="0" w:line="240" w:lineRule="auto"/>
        <w:ind w:left="426"/>
        <w:jc w:val="both"/>
        <w:rPr>
          <w:rFonts w:ascii="Candara" w:eastAsia="Times New Roman" w:hAnsi="Candara" w:cs="Times New Roman"/>
          <w:bCs/>
          <w:sz w:val="24"/>
          <w:szCs w:val="24"/>
          <w:lang w:eastAsia="pt-BR"/>
        </w:rPr>
      </w:pPr>
      <w:r w:rsidRPr="006C28E0">
        <w:rPr>
          <w:rFonts w:ascii="Candara" w:eastAsia="Times New Roman" w:hAnsi="Candara" w:cs="Times New Roman"/>
          <w:bCs/>
          <w:sz w:val="24"/>
          <w:szCs w:val="24"/>
          <w:lang w:eastAsia="pt-BR"/>
        </w:rPr>
        <w:t xml:space="preserve">g) o Poder Executivo poderá alterar o QDD, permitindo inclusive a criação, inclusão ou modificação de elementos, </w:t>
      </w:r>
      <w:proofErr w:type="spellStart"/>
      <w:r w:rsidRPr="006C28E0">
        <w:rPr>
          <w:rFonts w:ascii="Candara" w:eastAsia="Times New Roman" w:hAnsi="Candara" w:cs="Times New Roman"/>
          <w:bCs/>
          <w:sz w:val="24"/>
          <w:szCs w:val="24"/>
          <w:lang w:eastAsia="pt-BR"/>
        </w:rPr>
        <w:t>subelementos</w:t>
      </w:r>
      <w:proofErr w:type="spellEnd"/>
      <w:r w:rsidRPr="006C28E0">
        <w:rPr>
          <w:rFonts w:ascii="Candara" w:eastAsia="Times New Roman" w:hAnsi="Candara" w:cs="Times New Roman"/>
          <w:bCs/>
          <w:sz w:val="24"/>
          <w:szCs w:val="24"/>
          <w:lang w:eastAsia="pt-BR"/>
        </w:rPr>
        <w:t xml:space="preserve"> e fontes de recursos necessários à execução da despesa, ainda que não previamente previstos na lei orçamentária;</w:t>
      </w:r>
    </w:p>
    <w:p w:rsidR="006C28E0" w:rsidRPr="006C28E0" w:rsidRDefault="006C28E0" w:rsidP="006C28E0">
      <w:pPr>
        <w:spacing w:after="0" w:line="240" w:lineRule="auto"/>
        <w:jc w:val="both"/>
        <w:rPr>
          <w:rFonts w:ascii="Candara" w:eastAsia="Times New Roman" w:hAnsi="Candara" w:cs="Times New Roman"/>
          <w:bCs/>
          <w:sz w:val="24"/>
          <w:szCs w:val="24"/>
          <w:lang w:eastAsia="pt-BR"/>
        </w:rPr>
      </w:pPr>
    </w:p>
    <w:p w:rsidR="006C28E0" w:rsidRPr="006C28E0" w:rsidRDefault="006C28E0" w:rsidP="006C28E0">
      <w:pPr>
        <w:spacing w:after="0" w:line="240" w:lineRule="auto"/>
        <w:ind w:left="426"/>
        <w:jc w:val="both"/>
        <w:rPr>
          <w:rFonts w:ascii="Candara" w:eastAsia="Times New Roman" w:hAnsi="Candara" w:cs="Times New Roman"/>
          <w:bCs/>
          <w:sz w:val="24"/>
          <w:szCs w:val="24"/>
          <w:lang w:eastAsia="pt-BR"/>
        </w:rPr>
      </w:pPr>
      <w:r w:rsidRPr="006C28E0">
        <w:rPr>
          <w:rFonts w:ascii="Candara" w:eastAsia="Times New Roman" w:hAnsi="Candara" w:cs="Times New Roman"/>
          <w:bCs/>
          <w:sz w:val="24"/>
          <w:szCs w:val="24"/>
          <w:lang w:eastAsia="pt-BR"/>
        </w:rPr>
        <w:t>h) as emendas parlamentares de natureza voluntária e as emendas de caráter especial não se sujeitam ao limite estabelecido no inciso I, ficando autorizada a abertura de crédito especial ou a suplementação orçamentária até o montante da transferência recebida.</w:t>
      </w: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imes New Roman" w:hAnsi="Candara" w:cs="Times New Roman"/>
          <w:sz w:val="24"/>
          <w:szCs w:val="24"/>
          <w:lang w:eastAsia="pt-BR"/>
        </w:rPr>
        <w:tab/>
      </w: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imes New Roman" w:hAnsi="Candara" w:cs="Times New Roman"/>
          <w:color w:val="000000" w:themeColor="text1"/>
          <w:sz w:val="24"/>
          <w:szCs w:val="24"/>
          <w:lang w:eastAsia="pt-BR"/>
        </w:rPr>
        <w:t>II – Efetuar operações de crédito por antecipação da receita, nos limites fixados pelo Senado Federal, conforme o disposto no art. 38 da Lei Complementar nº 101/2000.</w:t>
      </w:r>
    </w:p>
    <w:p w:rsidR="006C28E0" w:rsidRPr="006C28E0" w:rsidRDefault="006C28E0" w:rsidP="006C28E0">
      <w:pPr>
        <w:widowControl w:val="0"/>
        <w:autoSpaceDE w:val="0"/>
        <w:autoSpaceDN w:val="0"/>
        <w:spacing w:after="0" w:line="240" w:lineRule="auto"/>
        <w:ind w:right="137"/>
        <w:jc w:val="both"/>
        <w:rPr>
          <w:rFonts w:ascii="Candara" w:eastAsia="Cambria" w:hAnsi="Candara" w:cs="Times New Roman"/>
          <w:color w:val="000000" w:themeColor="text1"/>
          <w:sz w:val="24"/>
          <w:szCs w:val="24"/>
          <w:lang w:val="pt-PT"/>
        </w:rPr>
      </w:pPr>
    </w:p>
    <w:p w:rsidR="006C28E0" w:rsidRDefault="006C28E0" w:rsidP="006C28E0">
      <w:pPr>
        <w:spacing w:after="0" w:line="240" w:lineRule="auto"/>
        <w:jc w:val="both"/>
        <w:rPr>
          <w:rFonts w:ascii="Candara" w:eastAsia="Times New Roman" w:hAnsi="Candara" w:cs="Times New Roman"/>
          <w:b/>
          <w:bCs/>
          <w:color w:val="000000" w:themeColor="text1"/>
          <w:sz w:val="24"/>
          <w:szCs w:val="24"/>
          <w:lang w:eastAsia="pt-BR"/>
        </w:rPr>
      </w:pPr>
    </w:p>
    <w:p w:rsidR="006C28E0" w:rsidRDefault="006C28E0" w:rsidP="006C28E0">
      <w:pPr>
        <w:spacing w:after="0" w:line="240" w:lineRule="auto"/>
        <w:jc w:val="both"/>
        <w:rPr>
          <w:rFonts w:ascii="Candara" w:eastAsia="Times New Roman" w:hAnsi="Candara" w:cs="Times New Roman"/>
          <w:b/>
          <w:bCs/>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imes New Roman" w:hAnsi="Candara" w:cs="Times New Roman"/>
          <w:b/>
          <w:bCs/>
          <w:color w:val="000000" w:themeColor="text1"/>
          <w:sz w:val="24"/>
          <w:szCs w:val="24"/>
          <w:lang w:eastAsia="pt-BR"/>
        </w:rPr>
        <w:t>Art. 8º.</w:t>
      </w:r>
      <w:r w:rsidRPr="006C28E0">
        <w:rPr>
          <w:rFonts w:ascii="Candara" w:eastAsia="Times New Roman" w:hAnsi="Candara" w:cs="Times New Roman"/>
          <w:color w:val="000000" w:themeColor="text1"/>
          <w:sz w:val="24"/>
          <w:szCs w:val="24"/>
          <w:lang w:eastAsia="pt-BR"/>
        </w:rPr>
        <w:t xml:space="preserve"> Esta Lei entra em vigor na data de sua publicação, revogando-se as disposições em contrário.</w:t>
      </w:r>
    </w:p>
    <w:p w:rsidR="006C28E0" w:rsidRPr="006C28E0" w:rsidRDefault="006C28E0" w:rsidP="006C28E0">
      <w:pPr>
        <w:widowControl w:val="0"/>
        <w:autoSpaceDE w:val="0"/>
        <w:autoSpaceDN w:val="0"/>
        <w:spacing w:after="0" w:line="240" w:lineRule="auto"/>
        <w:ind w:right="135"/>
        <w:jc w:val="both"/>
        <w:rPr>
          <w:rFonts w:ascii="Candara" w:eastAsia="Cambria" w:hAnsi="Candara" w:cs="Times New Roman"/>
          <w:color w:val="000000" w:themeColor="text1"/>
          <w:spacing w:val="-2"/>
          <w:w w:val="110"/>
          <w:sz w:val="24"/>
          <w:szCs w:val="24"/>
          <w:lang w:val="pt-PT"/>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r w:rsidRPr="006C28E0">
        <w:rPr>
          <w:rFonts w:ascii="Candara" w:eastAsia="Times New Roman" w:hAnsi="Candara" w:cs="Times New Roman"/>
          <w:color w:val="000000" w:themeColor="text1"/>
          <w:sz w:val="24"/>
          <w:szCs w:val="24"/>
          <w:lang w:eastAsia="pt-BR"/>
        </w:rPr>
        <w:t xml:space="preserve">Gabinete </w:t>
      </w:r>
      <w:r>
        <w:rPr>
          <w:rFonts w:ascii="Candara" w:eastAsia="Times New Roman" w:hAnsi="Candara" w:cs="Times New Roman"/>
          <w:color w:val="000000" w:themeColor="text1"/>
          <w:sz w:val="24"/>
          <w:szCs w:val="24"/>
          <w:lang w:eastAsia="pt-BR"/>
        </w:rPr>
        <w:t>do Prefeito</w:t>
      </w:r>
      <w:r w:rsidRPr="006C28E0">
        <w:rPr>
          <w:rFonts w:ascii="Candara" w:eastAsia="Times New Roman" w:hAnsi="Candara" w:cs="Times New Roman"/>
          <w:color w:val="000000" w:themeColor="text1"/>
          <w:sz w:val="24"/>
          <w:szCs w:val="24"/>
          <w:lang w:eastAsia="pt-BR"/>
        </w:rPr>
        <w:t xml:space="preserve"> Municipal de Cristalândia, Estado do Tocantins, aos </w:t>
      </w:r>
      <w:r>
        <w:rPr>
          <w:rFonts w:ascii="Candara" w:eastAsia="Times New Roman" w:hAnsi="Candara" w:cs="Times New Roman"/>
          <w:color w:val="000000" w:themeColor="text1"/>
          <w:sz w:val="24"/>
          <w:szCs w:val="24"/>
          <w:lang w:eastAsia="pt-BR"/>
        </w:rPr>
        <w:t>1</w:t>
      </w:r>
      <w:r w:rsidRPr="006C28E0">
        <w:rPr>
          <w:rFonts w:ascii="Candara" w:eastAsia="Times New Roman" w:hAnsi="Candara" w:cs="Times New Roman"/>
          <w:color w:val="000000" w:themeColor="text1"/>
          <w:sz w:val="24"/>
          <w:szCs w:val="24"/>
          <w:lang w:eastAsia="pt-BR"/>
        </w:rPr>
        <w:t>5 dias do mês de dezembro de 2025.</w:t>
      </w:r>
    </w:p>
    <w:p w:rsid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spacing w:after="0" w:line="240" w:lineRule="auto"/>
        <w:jc w:val="both"/>
        <w:rPr>
          <w:rFonts w:ascii="Candara" w:eastAsia="Times New Roman" w:hAnsi="Candara" w:cs="Times New Roman"/>
          <w:color w:val="000000" w:themeColor="text1"/>
          <w:sz w:val="24"/>
          <w:szCs w:val="24"/>
          <w:lang w:eastAsia="pt-BR"/>
        </w:rPr>
      </w:pPr>
    </w:p>
    <w:p w:rsidR="006C28E0" w:rsidRPr="006C28E0" w:rsidRDefault="006C28E0" w:rsidP="006C28E0">
      <w:pPr>
        <w:widowControl w:val="0"/>
        <w:autoSpaceDE w:val="0"/>
        <w:autoSpaceDN w:val="0"/>
        <w:spacing w:after="0" w:line="240" w:lineRule="auto"/>
        <w:ind w:right="135"/>
        <w:jc w:val="center"/>
        <w:rPr>
          <w:rFonts w:ascii="Candara" w:eastAsia="Cambria" w:hAnsi="Candara" w:cs="Times New Roman"/>
          <w:b/>
          <w:sz w:val="24"/>
          <w:szCs w:val="24"/>
          <w:lang w:val="pt-PT"/>
        </w:rPr>
      </w:pPr>
      <w:r w:rsidRPr="006C28E0">
        <w:rPr>
          <w:rFonts w:ascii="Candara" w:eastAsia="Cambria" w:hAnsi="Candara" w:cs="Times New Roman"/>
          <w:b/>
          <w:sz w:val="24"/>
          <w:szCs w:val="24"/>
          <w:lang w:val="pt-PT"/>
        </w:rPr>
        <w:t>WILSON JUNIOR CARVALHO DE OLIVEIRA</w:t>
      </w:r>
    </w:p>
    <w:p w:rsidR="006C28E0" w:rsidRPr="006C28E0" w:rsidRDefault="006C28E0" w:rsidP="006C28E0">
      <w:pPr>
        <w:widowControl w:val="0"/>
        <w:autoSpaceDE w:val="0"/>
        <w:autoSpaceDN w:val="0"/>
        <w:spacing w:after="0" w:line="240" w:lineRule="auto"/>
        <w:ind w:right="135"/>
        <w:jc w:val="center"/>
        <w:rPr>
          <w:rFonts w:ascii="Candara" w:eastAsia="Cambria" w:hAnsi="Candara" w:cs="Times New Roman"/>
          <w:sz w:val="24"/>
          <w:szCs w:val="24"/>
          <w:lang w:val="pt-PT"/>
        </w:rPr>
      </w:pPr>
      <w:r w:rsidRPr="006C28E0">
        <w:rPr>
          <w:rFonts w:ascii="Candara" w:eastAsia="Cambria" w:hAnsi="Candara" w:cs="Times New Roman"/>
          <w:sz w:val="24"/>
          <w:szCs w:val="24"/>
          <w:lang w:val="pt-PT"/>
        </w:rPr>
        <w:t>Prefeito Municipal</w:t>
      </w:r>
    </w:p>
    <w:p w:rsidR="006C28E0" w:rsidRPr="006C28E0" w:rsidRDefault="006C28E0" w:rsidP="006C28E0">
      <w:pPr>
        <w:spacing w:after="0" w:line="240" w:lineRule="auto"/>
        <w:jc w:val="center"/>
        <w:rPr>
          <w:rFonts w:ascii="Times New Roman" w:eastAsia="Times New Roman" w:hAnsi="Times New Roman" w:cs="Times New Roman"/>
          <w:b/>
          <w:sz w:val="24"/>
          <w:szCs w:val="24"/>
          <w:lang w:eastAsia="pt-BR"/>
        </w:rPr>
      </w:pPr>
    </w:p>
    <w:p w:rsidR="006C28E0" w:rsidRDefault="006C28E0" w:rsidP="00790B40"/>
    <w:p w:rsidR="00C43921" w:rsidRPr="00790B40" w:rsidRDefault="00C43921" w:rsidP="00790B40"/>
    <w:sectPr w:rsidR="00C43921" w:rsidRPr="00790B40" w:rsidSect="005A5823">
      <w:headerReference w:type="default" r:id="rId7"/>
      <w:footerReference w:type="default" r:id="rId8"/>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44A" w:rsidRDefault="005D544A" w:rsidP="005A5823">
      <w:pPr>
        <w:spacing w:after="0" w:line="240" w:lineRule="auto"/>
      </w:pPr>
      <w:r>
        <w:separator/>
      </w:r>
    </w:p>
  </w:endnote>
  <w:endnote w:type="continuationSeparator" w:id="0">
    <w:p w:rsidR="005D544A" w:rsidRDefault="005D544A" w:rsidP="005A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 Arial">
    <w:altName w:val="Times New Roman"/>
    <w:panose1 w:val="00000000000000000000"/>
    <w:charset w:val="00"/>
    <w:family w:val="roman"/>
    <w:notTrueType/>
    <w:pitch w:val="default"/>
  </w:font>
  <w:font w:name="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23" w:rsidRPr="00AE07EE" w:rsidRDefault="005A5823" w:rsidP="005A5823">
    <w:pPr>
      <w:pStyle w:val="Rodap"/>
      <w:tabs>
        <w:tab w:val="left" w:pos="660"/>
        <w:tab w:val="left" w:pos="1335"/>
        <w:tab w:val="left" w:pos="1560"/>
        <w:tab w:val="left" w:pos="2460"/>
        <w:tab w:val="left" w:pos="3120"/>
        <w:tab w:val="left" w:pos="3972"/>
      </w:tabs>
    </w:pPr>
    <w:r w:rsidRPr="0041428F">
      <w:rPr>
        <w:noProof/>
        <w:lang w:eastAsia="pt-BR"/>
      </w:rPr>
      <mc:AlternateContent>
        <mc:Choice Requires="wpg">
          <w:drawing>
            <wp:anchor distT="0" distB="0" distL="114300" distR="114300" simplePos="0" relativeHeight="251659264" behindDoc="1" locked="0" layoutInCell="1" allowOverlap="1" wp14:anchorId="703E6C60" wp14:editId="25D08168">
              <wp:simplePos x="0" y="0"/>
              <wp:positionH relativeFrom="page">
                <wp:posOffset>-3343910</wp:posOffset>
              </wp:positionH>
              <wp:positionV relativeFrom="paragraph">
                <wp:posOffset>-327024</wp:posOffset>
              </wp:positionV>
              <wp:extent cx="11914216" cy="2045624"/>
              <wp:effectExtent l="0" t="0" r="0" b="0"/>
              <wp:wrapNone/>
              <wp:docPr id="2" name="Elemento gráfico 17" descr="Formas de destaque curvas que coletivamente constroem o design do cabeçalho"/>
              <wp:cNvGraphicFramePr/>
              <a:graphic xmlns:a="http://schemas.openxmlformats.org/drawingml/2006/main">
                <a:graphicData uri="http://schemas.microsoft.com/office/word/2010/wordprocessingGroup">
                  <wpg:wgp>
                    <wpg:cNvGrpSpPr/>
                    <wpg:grpSpPr>
                      <a:xfrm rot="10800000">
                        <a:off x="0" y="0"/>
                        <a:ext cx="11914216" cy="2045624"/>
                        <a:chOff x="-553339" y="-62671"/>
                        <a:chExt cx="6748572" cy="1076940"/>
                      </a:xfrm>
                    </wpg:grpSpPr>
                    <wps:wsp>
                      <wps:cNvPr id="3" name="Forma livre: Forma 23"/>
                      <wps:cNvSpPr/>
                      <wps:spPr>
                        <a:xfrm>
                          <a:off x="-553339" y="-33422"/>
                          <a:ext cx="6000750" cy="1047691"/>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bg1">
                            <a:lumMod val="9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orma livre: Forma 24"/>
                      <wps:cNvSpPr/>
                      <wps:spPr>
                        <a:xfrm>
                          <a:off x="3375833" y="-6267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F36E2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93582F" id="Elemento gráfico 17" o:spid="_x0000_s1026" alt="Formas de destaque curvas que coletivamente constroem o design do cabeçalho" style="position:absolute;margin-left:-263.3pt;margin-top:-25.75pt;width:938.15pt;height:161.05pt;rotation:180;z-index:-251657216;mso-position-horizontal-relative:page;mso-width-relative:margin;mso-height-relative:margin" coordorigin="-5533,-626" coordsize="67485,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">
              <v:shape id="Forma livre: Forma 23" o:spid="_x0000_s1027" style="position:absolute;left:-5533;top:-334;width:60007;height:10476;visibility:visible;mso-wrap-style:square;v-text-anchor:middle" coordsize="600075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S0MMA&#10;AADaAAAADwAAAGRycy9kb3ducmV2LnhtbESPzYrCQBCE7wu+w9CCl0UnuqISM4ooggc9xN0HaDKd&#10;H5PpCZlR49vvCAt7LKrqKyrZ9qYRD+pcZVnBdBKBIM6srrhQ8PN9HK9AOI+ssbFMCl7kYLsZfCQY&#10;a/vklB5XX4gAYRejgtL7NpbSZSUZdBPbEgcvt51BH2RXSN3hM8BNI2dRtJAGKw4LJba0Lymrr3ej&#10;YHY4+X5ep/fbMr3sz5+L3OEyV2o07HdrEJ56/x/+a5+0gi94Xw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PS0MMAAADaAAAADwAAAAAAAAAAAAAAAACYAgAAZHJzL2Rv&#10;d25yZXYueG1sUEsFBgAAAAAEAAQA9QAAAIgDAAAAAA==&#10;" path="m7144,7144r,606742c647224,1034891,2136934,964406,3546634,574834,4882039,205264,5998369,893921,5998369,893921r,-886777l7144,7144xe" fillcolor="#f2f2f2 [3052]" stroked="f">
                <v:stroke joinstyle="miter"/>
                <v:path arrowok="t" o:connecttype="custom" o:connectlocs="7144,8272;7144,710775;3546634,665560;5998369,1035008;5998369,8272;7144,8272" o:connectangles="0,0,0,0,0,0"/>
              </v:shape>
              <v:shape id="Forma livre: Forma 24" o:spid="_x0000_s1028" style="position:absolute;left:33758;top:-626;width:28194;height:8286;visibility:visible;mso-wrap-style:square;v-text-anchor:middle" coordsize="2819400,82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Ay8AA&#10;AADaAAAADwAAAGRycy9kb3ducmV2LnhtbESPT4vCMBTE78J+h/AW9qbpiohbjSILinpT1/ujebbV&#10;5qUk6Z/99kYQPA4z8xtmsepNJVpyvrSs4HuUgCDOrC45V/B33gxnIHxA1lhZJgX/5GG1/BgsMNW2&#10;4yO1p5CLCGGfooIihDqV0mcFGfQjWxNH72qdwRCly6V22EW4qeQ4SabSYMlxocCafgvK7qfGKGjd&#10;7ue2lXo9aULXXK7jw77uDkp9ffbrOYhAfXiHX+2dVjCB55V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HAy8AAAADaAAAADwAAAAAAAAAAAAAAAACYAgAAZHJzL2Rvd25y&#10;ZXYueG1sUEsFBgAAAAAEAAQA9QAAAIUDAAAAAA==&#10;" path="m7144,481489c380524,602456,751999,764381,1305401,812959,2325529,902494,2815114,428149,2815114,428149r,-421005c2332196,236696,1376839,568166,7144,481489xe" fillcolor="#f36e2f" stroked="f">
                <v:stroke joinstyle="miter"/>
                <v:path arrowok="t" o:connecttype="custom" o:connectlocs="7144,481489;1305401,812959;2815114,428149;2815114,7144;7144,481489" o:connectangles="0,0,0,0,0"/>
              </v:shape>
              <w10:wrap anchorx="page"/>
            </v:group>
          </w:pict>
        </mc:Fallback>
      </mc:AlternateContent>
    </w:r>
    <w:r>
      <w:tab/>
    </w:r>
    <w:r>
      <w:tab/>
    </w:r>
    <w:r>
      <w:tab/>
    </w:r>
    <w:r>
      <w:tab/>
    </w:r>
    <w:r>
      <w:tab/>
    </w:r>
    <w:r>
      <w:tab/>
    </w:r>
    <w:r>
      <w:tab/>
    </w:r>
    <w:r>
      <w:tab/>
    </w:r>
    <w:r>
      <w:rPr>
        <w:noProof/>
        <w:lang w:eastAsia="pt-BR"/>
      </w:rPr>
      <w:drawing>
        <wp:inline distT="0" distB="0" distL="0" distR="0" wp14:anchorId="4B01473A" wp14:editId="0B164AC0">
          <wp:extent cx="1847850" cy="1076325"/>
          <wp:effectExtent l="0" t="0" r="0" b="9525"/>
          <wp:docPr id="9" name="Imagem 9" descr="rodaped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apedad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076325"/>
                  </a:xfrm>
                  <a:prstGeom prst="rect">
                    <a:avLst/>
                  </a:prstGeom>
                  <a:noFill/>
                  <a:ln>
                    <a:noFill/>
                  </a:ln>
                </pic:spPr>
              </pic:pic>
            </a:graphicData>
          </a:graphic>
        </wp:inline>
      </w:drawing>
    </w:r>
  </w:p>
  <w:p w:rsidR="005A5823" w:rsidRDefault="005A5823" w:rsidP="005A5823">
    <w:pPr>
      <w:pStyle w:val="Rodap"/>
    </w:pPr>
  </w:p>
  <w:p w:rsidR="005A5823" w:rsidRPr="005A5823" w:rsidRDefault="005A5823" w:rsidP="005A582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44A" w:rsidRDefault="005D544A" w:rsidP="005A5823">
      <w:pPr>
        <w:spacing w:after="0" w:line="240" w:lineRule="auto"/>
      </w:pPr>
      <w:r>
        <w:separator/>
      </w:r>
    </w:p>
  </w:footnote>
  <w:footnote w:type="continuationSeparator" w:id="0">
    <w:p w:rsidR="005D544A" w:rsidRDefault="005D544A" w:rsidP="005A5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23" w:rsidRDefault="005A5823" w:rsidP="005A5823">
    <w:pPr>
      <w:pStyle w:val="Cabealho"/>
      <w:jc w:val="center"/>
    </w:pPr>
    <w:r w:rsidRPr="00655939">
      <w:rPr>
        <w:noProof/>
        <w:lang w:eastAsia="pt-BR"/>
      </w:rPr>
      <w:drawing>
        <wp:inline distT="0" distB="0" distL="0" distR="0" wp14:anchorId="5D3A1D4E" wp14:editId="19833126">
          <wp:extent cx="3114675" cy="1485900"/>
          <wp:effectExtent l="0" t="0" r="9525" b="0"/>
          <wp:docPr id="8" name="Imagem 8" descr="C:\Users\penic\Downloads\LOGO PREFEITURA DE CRISTALÂNDIA -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ic\Downloads\LOGO PREFEITURA DE CRISTALÂNDIA -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148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6951"/>
    <w:multiLevelType w:val="hybridMultilevel"/>
    <w:tmpl w:val="BDC48E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02"/>
    <w:rsid w:val="0000207F"/>
    <w:rsid w:val="00186539"/>
    <w:rsid w:val="002B6008"/>
    <w:rsid w:val="003A052B"/>
    <w:rsid w:val="005A5823"/>
    <w:rsid w:val="005D544A"/>
    <w:rsid w:val="006C28E0"/>
    <w:rsid w:val="00750C69"/>
    <w:rsid w:val="00790B40"/>
    <w:rsid w:val="007B44AE"/>
    <w:rsid w:val="00803C39"/>
    <w:rsid w:val="008161BC"/>
    <w:rsid w:val="00872766"/>
    <w:rsid w:val="008815B6"/>
    <w:rsid w:val="00881902"/>
    <w:rsid w:val="00897E07"/>
    <w:rsid w:val="00983B85"/>
    <w:rsid w:val="00AA3774"/>
    <w:rsid w:val="00B46430"/>
    <w:rsid w:val="00BB6719"/>
    <w:rsid w:val="00C313BC"/>
    <w:rsid w:val="00C43921"/>
    <w:rsid w:val="00CE7014"/>
    <w:rsid w:val="00D0182F"/>
    <w:rsid w:val="00D8414F"/>
    <w:rsid w:val="00E84A26"/>
    <w:rsid w:val="00FE0C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8AFBA"/>
  <w15:chartTrackingRefBased/>
  <w15:docId w15:val="{2809C070-6614-4CB3-B521-C0DA7798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C39"/>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58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5823"/>
  </w:style>
  <w:style w:type="paragraph" w:styleId="Rodap">
    <w:name w:val="footer"/>
    <w:basedOn w:val="Normal"/>
    <w:link w:val="RodapChar"/>
    <w:uiPriority w:val="99"/>
    <w:unhideWhenUsed/>
    <w:rsid w:val="005A5823"/>
    <w:pPr>
      <w:tabs>
        <w:tab w:val="center" w:pos="4252"/>
        <w:tab w:val="right" w:pos="8504"/>
      </w:tabs>
      <w:spacing w:after="0" w:line="240" w:lineRule="auto"/>
    </w:pPr>
  </w:style>
  <w:style w:type="character" w:customStyle="1" w:styleId="RodapChar">
    <w:name w:val="Rodapé Char"/>
    <w:basedOn w:val="Fontepargpadro"/>
    <w:link w:val="Rodap"/>
    <w:uiPriority w:val="99"/>
    <w:rsid w:val="005A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2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5308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2</cp:revision>
  <dcterms:created xsi:type="dcterms:W3CDTF">2025-12-16T12:47:00Z</dcterms:created>
  <dcterms:modified xsi:type="dcterms:W3CDTF">2025-12-16T12:47:00Z</dcterms:modified>
</cp:coreProperties>
</file>